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56" w:rsidRDefault="00F75462">
      <w:hyperlink r:id="rId4" w:history="1">
        <w:r w:rsidRPr="00F349E9">
          <w:rPr>
            <w:rStyle w:val="Hipervnculo"/>
          </w:rPr>
          <w:t>http://www.veracruz.gob.mx/finanzas/transparencia/obigaciones-de-transparencia/#Test-Frac-XXVIII</w:t>
        </w:r>
      </w:hyperlink>
    </w:p>
    <w:p w:rsidR="00F75462" w:rsidRDefault="00F75462">
      <w:bookmarkStart w:id="0" w:name="_GoBack"/>
      <w:bookmarkEnd w:id="0"/>
    </w:p>
    <w:sectPr w:rsidR="00F75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62"/>
    <w:rsid w:val="00763176"/>
    <w:rsid w:val="00944DBB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A73E5-701F-499E-9CDC-C57D965E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5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racruz.gob.mx/finanzas/transparencia/obigaciones-de-transparencia/#Test-Frac-XXVI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GC</dc:creator>
  <cp:keywords/>
  <dc:description/>
  <cp:lastModifiedBy>Magdalena GC</cp:lastModifiedBy>
  <cp:revision>1</cp:revision>
  <dcterms:created xsi:type="dcterms:W3CDTF">2020-04-13T18:58:00Z</dcterms:created>
  <dcterms:modified xsi:type="dcterms:W3CDTF">2020-04-13T19:02:00Z</dcterms:modified>
</cp:coreProperties>
</file>